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EE5" w:rsidRPr="00795EE5" w:rsidRDefault="00795EE5" w:rsidP="00795EE5">
      <w:pPr>
        <w:ind w:firstLine="567"/>
        <w:jc w:val="center"/>
        <w:rPr>
          <w:rFonts w:ascii="Times New Roman" w:hAnsi="Times New Roman" w:cs="Times New Roman"/>
          <w:b/>
          <w:sz w:val="24"/>
          <w:szCs w:val="24"/>
          <w:lang w:val="en-US"/>
        </w:rPr>
      </w:pPr>
      <w:r w:rsidRPr="00795EE5">
        <w:rPr>
          <w:rFonts w:ascii="Times New Roman" w:hAnsi="Times New Roman" w:cs="Times New Roman"/>
          <w:b/>
          <w:sz w:val="24"/>
          <w:szCs w:val="24"/>
          <w:lang w:val="en-US"/>
        </w:rPr>
        <w:t>Selecting vocabulary</w:t>
      </w:r>
    </w:p>
    <w:p w:rsidR="00795EE5" w:rsidRDefault="00795EE5" w:rsidP="00795EE5">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The initial step in teaching ESP vocabulary is to determine which words and special terms in fact to teach. </w:t>
      </w:r>
      <w:proofErr w:type="spellStart"/>
      <w:r w:rsidRPr="00C25A39">
        <w:rPr>
          <w:rFonts w:ascii="Times New Roman" w:hAnsi="Times New Roman" w:cs="Times New Roman"/>
          <w:sz w:val="24"/>
          <w:szCs w:val="24"/>
          <w:lang w:val="en-US"/>
        </w:rPr>
        <w:t>Gairns</w:t>
      </w:r>
      <w:proofErr w:type="spellEnd"/>
      <w:r w:rsidRPr="00C25A39">
        <w:rPr>
          <w:rFonts w:ascii="Times New Roman" w:hAnsi="Times New Roman" w:cs="Times New Roman"/>
          <w:sz w:val="24"/>
          <w:szCs w:val="24"/>
          <w:lang w:val="en-US"/>
        </w:rPr>
        <w:t xml:space="preserve"> and Redman (59) emphasize especially cultural reasons and the principles of need and level. Authors of teaching materials and teachers should take into account also the criteria of </w:t>
      </w:r>
      <w:proofErr w:type="spellStart"/>
      <w:r w:rsidRPr="00C25A39">
        <w:rPr>
          <w:rFonts w:ascii="Times New Roman" w:hAnsi="Times New Roman" w:cs="Times New Roman"/>
          <w:sz w:val="24"/>
          <w:szCs w:val="24"/>
          <w:lang w:val="en-US"/>
        </w:rPr>
        <w:t>learnability</w:t>
      </w:r>
      <w:proofErr w:type="spellEnd"/>
      <w:r w:rsidRPr="00C25A39">
        <w:rPr>
          <w:rFonts w:ascii="Times New Roman" w:hAnsi="Times New Roman" w:cs="Times New Roman"/>
          <w:sz w:val="24"/>
          <w:szCs w:val="24"/>
          <w:lang w:val="en-US"/>
        </w:rPr>
        <w:t xml:space="preserve"> and </w:t>
      </w:r>
      <w:proofErr w:type="spellStart"/>
      <w:r w:rsidRPr="00C25A39">
        <w:rPr>
          <w:rFonts w:ascii="Times New Roman" w:hAnsi="Times New Roman" w:cs="Times New Roman"/>
          <w:sz w:val="24"/>
          <w:szCs w:val="24"/>
          <w:lang w:val="en-US"/>
        </w:rPr>
        <w:t>teachability</w:t>
      </w:r>
      <w:proofErr w:type="spellEnd"/>
      <w:r w:rsidRPr="00C25A39">
        <w:rPr>
          <w:rFonts w:ascii="Times New Roman" w:hAnsi="Times New Roman" w:cs="Times New Roman"/>
          <w:sz w:val="24"/>
          <w:szCs w:val="24"/>
          <w:lang w:val="en-US"/>
        </w:rPr>
        <w:t xml:space="preserve">.  According to Harmer (154), one of the most common principles of vocabulary selection is to teach at first concrete words and gradually abstract words. Words like chair, table, sofa and wardrobe are easily presented and explained, because students can see or imagine the real things which the words represent. On the contrary, abstract words like density, qualifications, safety are more difficult to explain. There are a number of words that are connected with the idea of furniture (chair, table, sofa and wardrobe). Words that have this kind of thematic relationship are said to belong to the same lexical field.  The texts of practical part also contain the lexical field of tool-related words that partly overlap with furniture words (hammer, screwdriver and saw) as well as terminology connected with trees (hardwood and softwood). </w:t>
      </w:r>
    </w:p>
    <w:p w:rsidR="00795EE5" w:rsidRDefault="00795EE5" w:rsidP="00795EE5">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After selection words for teaching purpose it is also indispensable to decide what to teach about each naming unit. According to Harmer (158) and </w:t>
      </w:r>
      <w:proofErr w:type="spellStart"/>
      <w:r w:rsidRPr="00C25A39">
        <w:rPr>
          <w:rFonts w:ascii="Times New Roman" w:hAnsi="Times New Roman" w:cs="Times New Roman"/>
          <w:sz w:val="24"/>
          <w:szCs w:val="24"/>
          <w:lang w:val="en-US"/>
        </w:rPr>
        <w:t>Thornbury</w:t>
      </w:r>
      <w:proofErr w:type="spellEnd"/>
      <w:r w:rsidRPr="00C25A39">
        <w:rPr>
          <w:rFonts w:ascii="Times New Roman" w:hAnsi="Times New Roman" w:cs="Times New Roman"/>
          <w:sz w:val="24"/>
          <w:szCs w:val="24"/>
          <w:lang w:val="en-US"/>
        </w:rPr>
        <w:t xml:space="preserve"> (15), knowledg</w:t>
      </w:r>
      <w:r>
        <w:rPr>
          <w:rFonts w:ascii="Times New Roman" w:hAnsi="Times New Roman" w:cs="Times New Roman"/>
          <w:sz w:val="24"/>
          <w:szCs w:val="24"/>
          <w:lang w:val="en-US"/>
        </w:rPr>
        <w:t xml:space="preserve">e of a word involves knowing </w:t>
      </w:r>
      <w:proofErr w:type="spellStart"/>
      <w:r>
        <w:rPr>
          <w:rFonts w:ascii="Times New Roman" w:hAnsi="Times New Roman" w:cs="Times New Roman"/>
          <w:sz w:val="24"/>
          <w:szCs w:val="24"/>
          <w:lang w:val="en-US"/>
        </w:rPr>
        <w:t>its</w:t>
      </w:r>
      <w:proofErr w:type="spellEnd"/>
      <w:r>
        <w:rPr>
          <w:rFonts w:ascii="Times New Roman" w:hAnsi="Times New Roman" w:cs="Times New Roman"/>
          <w:sz w:val="24"/>
          <w:szCs w:val="24"/>
          <w:lang w:val="en-US"/>
        </w:rPr>
        <w:t>:</w:t>
      </w:r>
      <w:r w:rsidRPr="00C25A39">
        <w:rPr>
          <w:rFonts w:ascii="Times New Roman" w:hAnsi="Times New Roman" w:cs="Times New Roman"/>
          <w:sz w:val="24"/>
          <w:szCs w:val="24"/>
          <w:lang w:val="en-US"/>
        </w:rPr>
        <w:t xml:space="preserve"> </w:t>
      </w:r>
    </w:p>
    <w:p w:rsidR="00795EE5" w:rsidRDefault="00795EE5" w:rsidP="00795EE5">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Meaning - meanings in context, sense of relation (synonyms/antonyms), </w:t>
      </w:r>
    </w:p>
    <w:p w:rsidR="00795EE5" w:rsidRDefault="00795EE5" w:rsidP="00795EE5">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Form – spelling and pronunciation, affixes, parts of speech, </w:t>
      </w:r>
    </w:p>
    <w:p w:rsidR="00795EE5" w:rsidRDefault="00795EE5" w:rsidP="00795EE5">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 xml:space="preserve">Grammar – plurals, </w:t>
      </w:r>
      <w:proofErr w:type="spellStart"/>
      <w:r w:rsidRPr="00C25A39">
        <w:rPr>
          <w:rFonts w:ascii="Times New Roman" w:hAnsi="Times New Roman" w:cs="Times New Roman"/>
          <w:sz w:val="24"/>
          <w:szCs w:val="24"/>
          <w:lang w:val="en-US"/>
        </w:rPr>
        <w:t>countability</w:t>
      </w:r>
      <w:proofErr w:type="spellEnd"/>
      <w:r w:rsidRPr="00C25A39">
        <w:rPr>
          <w:rFonts w:ascii="Times New Roman" w:hAnsi="Times New Roman" w:cs="Times New Roman"/>
          <w:sz w:val="24"/>
          <w:szCs w:val="24"/>
          <w:lang w:val="en-US"/>
        </w:rPr>
        <w:t xml:space="preserve">, past simple/participle forms, </w:t>
      </w:r>
    </w:p>
    <w:p w:rsidR="00795EE5" w:rsidRPr="00C25A39" w:rsidRDefault="00795EE5" w:rsidP="00795EE5">
      <w:pPr>
        <w:ind w:firstLine="567"/>
        <w:jc w:val="both"/>
        <w:rPr>
          <w:rFonts w:ascii="Times New Roman" w:hAnsi="Times New Roman" w:cs="Times New Roman"/>
          <w:sz w:val="24"/>
          <w:szCs w:val="24"/>
          <w:lang w:val="en-US"/>
        </w:rPr>
      </w:pPr>
      <w:r w:rsidRPr="00C25A39">
        <w:rPr>
          <w:rFonts w:ascii="Times New Roman" w:hAnsi="Times New Roman" w:cs="Times New Roman"/>
          <w:sz w:val="24"/>
          <w:szCs w:val="24"/>
          <w:lang w:val="en-US"/>
        </w:rPr>
        <w:t>Usage – collocations and appropriate register.</w:t>
      </w:r>
    </w:p>
    <w:p w:rsidR="00060933" w:rsidRPr="00795EE5" w:rsidRDefault="00060933">
      <w:pPr>
        <w:rPr>
          <w:lang w:val="en-US"/>
        </w:rPr>
      </w:pPr>
    </w:p>
    <w:sectPr w:rsidR="00060933" w:rsidRPr="00795EE5"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795EE5"/>
    <w:rsid w:val="00060933"/>
    <w:rsid w:val="002578A8"/>
    <w:rsid w:val="006717A5"/>
    <w:rsid w:val="00795EE5"/>
    <w:rsid w:val="00AC1E02"/>
    <w:rsid w:val="00B12EA2"/>
    <w:rsid w:val="00BC75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EE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244</Words>
  <Characters>1393</Characters>
  <Application>Microsoft Office Word</Application>
  <DocSecurity>0</DocSecurity>
  <Lines>11</Lines>
  <Paragraphs>3</Paragraphs>
  <ScaleCrop>false</ScaleCrop>
  <Company/>
  <LinksUpToDate>false</LinksUpToDate>
  <CharactersWithSpaces>1634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2020-02-03T07:39:00Z</dcterms:created>
  <dcterms:modified xsi:type="dcterms:W3CDTF">2020-02-03T07:40:00Z</dcterms:modified>
</cp:coreProperties>
</file>